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CFA" w:rsidRDefault="00615CFA">
      <w:pPr>
        <w:spacing w:line="480" w:lineRule="auto"/>
        <w:jc w:val="center"/>
      </w:pPr>
      <w:bookmarkStart w:id="0" w:name="OLE_LINK3"/>
      <w:bookmarkStart w:id="1" w:name="OLE_LINK4"/>
      <w:bookmarkStart w:id="2" w:name="_GoBack"/>
      <w:bookmarkEnd w:id="2"/>
      <w:r>
        <w:t xml:space="preserve">Andrew Lytle at </w:t>
      </w:r>
      <w:proofErr w:type="gramStart"/>
      <w:r>
        <w:rPr>
          <w:i/>
        </w:rPr>
        <w:t>The</w:t>
      </w:r>
      <w:proofErr w:type="gramEnd"/>
      <w:r>
        <w:rPr>
          <w:i/>
        </w:rPr>
        <w:t xml:space="preserve"> Sewanee Review</w:t>
      </w:r>
    </w:p>
    <w:p w:rsidR="00615CFA" w:rsidRDefault="00615CFA" w:rsidP="00766E9C">
      <w:pPr>
        <w:spacing w:line="480" w:lineRule="auto"/>
        <w:ind w:firstLine="720"/>
      </w:pPr>
      <w:r>
        <w:t xml:space="preserve">Atop the Cumberland Plateau at the University of the South in Sewanee, Tennessee, is the office of </w:t>
      </w:r>
      <w:r>
        <w:rPr>
          <w:i/>
        </w:rPr>
        <w:t>The Sewanee Review</w:t>
      </w:r>
      <w:r w:rsidR="009A10C9">
        <w:t>.</w:t>
      </w:r>
      <w:r>
        <w:t xml:space="preserve"> Founded in 1892, the</w:t>
      </w:r>
      <w:r>
        <w:rPr>
          <w:i/>
        </w:rPr>
        <w:t xml:space="preserve"> Sewanee Review</w:t>
      </w:r>
      <w:r>
        <w:t xml:space="preserve"> (</w:t>
      </w:r>
      <w:r>
        <w:rPr>
          <w:i/>
        </w:rPr>
        <w:t>SR</w:t>
      </w:r>
      <w:r>
        <w:t>)</w:t>
      </w:r>
      <w:r>
        <w:rPr>
          <w:i/>
        </w:rPr>
        <w:t xml:space="preserve"> </w:t>
      </w:r>
      <w:r>
        <w:t>has never missed an issue, distinguishing it as the oldest continuously published quarterly review in the Un</w:t>
      </w:r>
      <w:r w:rsidR="009A10C9">
        <w:t>ited States. For its first half-</w:t>
      </w:r>
      <w:r>
        <w:t>century</w:t>
      </w:r>
      <w:r w:rsidR="009A10C9">
        <w:t>,</w:t>
      </w:r>
      <w:r>
        <w:t xml:space="preserve"> the magazine existed as a general journal of the Humanities, featuring articles on </w:t>
      </w:r>
      <w:r w:rsidR="009A10C9">
        <w:t xml:space="preserve">literature, </w:t>
      </w:r>
      <w:r>
        <w:t>art, politics</w:t>
      </w:r>
      <w:r w:rsidR="009A10C9">
        <w:t xml:space="preserve">, and the South. </w:t>
      </w:r>
      <w:r>
        <w:t xml:space="preserve">In the early 1940s its focus became purely literary, and the </w:t>
      </w:r>
      <w:r>
        <w:rPr>
          <w:i/>
        </w:rPr>
        <w:t>SR</w:t>
      </w:r>
      <w:r>
        <w:t xml:space="preserve"> now regularly publishes superb essays, literary criticism, fiction, poetry and, of cou</w:t>
      </w:r>
      <w:r w:rsidR="009A10C9">
        <w:t xml:space="preserve">rse, reviews of current books. </w:t>
      </w:r>
      <w:r>
        <w:t>This shift in tone was facilitated expres</w:t>
      </w:r>
      <w:r w:rsidR="009A10C9">
        <w:t>sly by the editors of the time.</w:t>
      </w:r>
      <w:r>
        <w:t xml:space="preserve"> Indeed, a great deal of the magazine’s continued excellence has depended on its editors, without whom the </w:t>
      </w:r>
      <w:r>
        <w:rPr>
          <w:i/>
        </w:rPr>
        <w:t>SR</w:t>
      </w:r>
      <w:r>
        <w:t xml:space="preserve"> would not have been able to solicit and select the excellent writers that have graced their p</w:t>
      </w:r>
      <w:r w:rsidR="009A10C9">
        <w:t>ages during these past decades.</w:t>
      </w:r>
      <w:r>
        <w:t xml:space="preserve"> For the last seventy-six years, the office of the </w:t>
      </w:r>
      <w:r>
        <w:rPr>
          <w:i/>
        </w:rPr>
        <w:t>SR</w:t>
      </w:r>
      <w:r>
        <w:t xml:space="preserve"> has housed only five, with the most recent editor, George Core, beginning his run in 1973. Andrew Nelson Lytle, one of the South’s more distinguished (and </w:t>
      </w:r>
      <w:r w:rsidR="009A10C9">
        <w:t>underappreciated</w:t>
      </w:r>
      <w:r>
        <w:t xml:space="preserve">) men of letters, edited the </w:t>
      </w:r>
      <w:r>
        <w:rPr>
          <w:i/>
        </w:rPr>
        <w:t>Sewanee Review</w:t>
      </w:r>
      <w:r>
        <w:t xml:space="preserve"> twice in his career, once in 1942 to 44 and then again from 1961 to 1973.</w:t>
      </w:r>
      <w:bookmarkEnd w:id="0"/>
      <w:bookmarkEnd w:id="1"/>
      <w:r w:rsidR="009A10C9">
        <w:t xml:space="preserve"> </w:t>
      </w:r>
      <w:r>
        <w:t>During his tenure as editor</w:t>
      </w:r>
      <w:r w:rsidR="00F63002">
        <w:t>,</w:t>
      </w:r>
      <w:r>
        <w:t xml:space="preserve"> Lytle helped to resurrect the magazine from academic stagnation, financial straits and a dwindling readership </w:t>
      </w:r>
      <w:r w:rsidR="00F63002">
        <w:t>while presenting</w:t>
      </w:r>
      <w:r>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southern idealism.  He left Vanderbilt in 1927 after studying literature and history to attend the Yale School of Drama.  Lytle’s interests remained primarily </w:t>
      </w:r>
      <w:r w:rsidR="00836B12">
        <w:t>s</w:t>
      </w:r>
      <w:r>
        <w:t xml:space="preserve">outhern, however, and in 1930 he contributed his first major essay, “The Hind Tit,” to the </w:t>
      </w:r>
      <w:r>
        <w:lastRenderedPageBreak/>
        <w:t xml:space="preserve">Agrarian symposium </w:t>
      </w:r>
      <w:r>
        <w:rPr>
          <w:i/>
        </w:rPr>
        <w:t>I’ll Take My Stand</w:t>
      </w:r>
      <w:r>
        <w:t xml:space="preserve">, which also included pieces written by Allen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The Southern Vision of Andrew Lytle</w:t>
      </w:r>
      <w:r>
        <w:t xml:space="preserve">:  “No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Southern Review </w:t>
      </w:r>
      <w:r w:rsidR="00836B12">
        <w:t xml:space="preserve">in 1936. </w:t>
      </w:r>
      <w:r>
        <w:t>While the piece loosely resembles “Old Scratch in the Valley” in design, it is devoid of any direct political attitude, repl</w:t>
      </w:r>
      <w:r w:rsidR="00692D5F">
        <w:t xml:space="preserve">aced by a purely literary one. </w:t>
      </w:r>
      <w:r>
        <w:t xml:space="preserve">As Lucas notes, </w:t>
      </w:r>
      <w:proofErr w:type="gramStart"/>
      <w:r>
        <w:t>“ ‘Jericho</w:t>
      </w:r>
      <w:proofErr w:type="gramEnd"/>
      <w:r>
        <w:t xml:space="preserve">, Jericho, Jericho,’ skillfully </w:t>
      </w:r>
      <w:r>
        <w:lastRenderedPageBreak/>
        <w:t xml:space="preserve">renders what is merely </w:t>
      </w:r>
      <w:r w:rsidR="00692D5F">
        <w:t xml:space="preserve">argued in ‘Old Scratch,” (53). </w:t>
      </w:r>
      <w:r>
        <w:t>He reasons that “Jericho, Jericho, Jericho” represents Lytle’s transition from southern Agr</w:t>
      </w:r>
      <w:r w:rsidR="00692D5F">
        <w:t>arianism to southern fiction.</w:t>
      </w:r>
      <w:r>
        <w:t xml:space="preserve"> Lytle’s first novel, </w:t>
      </w:r>
      <w:r>
        <w:rPr>
          <w:i/>
        </w:rPr>
        <w:t>The Long Night</w:t>
      </w:r>
      <w:r>
        <w:t>, was released</w:t>
      </w:r>
      <w:r w:rsidR="00692D5F">
        <w:t xml:space="preserve"> later that year. </w:t>
      </w:r>
      <w:r>
        <w:t xml:space="preserve">While its setting, dialogue and story were distinctly southern in style, Lytle successfully portrayed the South with a sole literary intent.  Lytle continued to develop his literary career in the next few years, earning a Guggenheim fellowship in 1940 and publishing his second novel, </w:t>
      </w:r>
      <w:r>
        <w:rPr>
          <w:i/>
        </w:rPr>
        <w:t xml:space="preserve">At </w:t>
      </w:r>
      <w:proofErr w:type="gramStart"/>
      <w:r>
        <w:rPr>
          <w:i/>
        </w:rPr>
        <w:t>The</w:t>
      </w:r>
      <w:proofErr w:type="gramEnd"/>
      <w:r>
        <w:rPr>
          <w:i/>
        </w:rPr>
        <w:t xml:space="preserv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 xml:space="preserve">In early 1942, Alexander </w:t>
      </w:r>
      <w:proofErr w:type="spellStart"/>
      <w:r>
        <w:t>Guerry</w:t>
      </w:r>
      <w:proofErr w:type="spellEnd"/>
      <w:r>
        <w:t>,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w:t>
      </w:r>
      <w:proofErr w:type="spellStart"/>
      <w:r>
        <w:t>Guerry</w:t>
      </w:r>
      <w:proofErr w:type="spellEnd"/>
      <w:r>
        <w:t xml:space="preserve"> complained frequently to Lytle about then editor, W.S. Knickerbocker, hoping the </w:t>
      </w:r>
      <w:r>
        <w:rPr>
          <w:i/>
        </w:rPr>
        <w:t>SR</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Pr>
          <w:i/>
        </w:rPr>
        <w:t>SR</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Southern Review</w:t>
      </w:r>
      <w:r>
        <w:t xml:space="preserve">, edited by the Fugitive-Agrarians </w:t>
      </w:r>
      <w:proofErr w:type="spellStart"/>
      <w:r>
        <w:t>Cleanth</w:t>
      </w:r>
      <w:proofErr w:type="spellEnd"/>
      <w:r>
        <w:t xml:space="preserve">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Southern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Pr>
          <w:i/>
        </w:rPr>
        <w:t>Southern Review</w:t>
      </w:r>
      <w:r>
        <w:t xml:space="preserve"> were intimately discussed in correspondence</w:t>
      </w:r>
      <w:bookmarkStart w:id="5" w:name="OLE_LINK5"/>
      <w:bookmarkStart w:id="6" w:name="OLE_LINK6"/>
      <w:r w:rsidR="008314E0">
        <w:t xml:space="preserve"> between Lytle and Allen Tate. </w:t>
      </w:r>
      <w:r>
        <w:t xml:space="preserve">The pair would soon collaborate to manage the </w:t>
      </w:r>
      <w:r>
        <w:rPr>
          <w:i/>
        </w:rPr>
        <w:t>SR</w:t>
      </w:r>
      <w:r>
        <w:t xml:space="preserve"> to unparalleled success at a </w:t>
      </w:r>
      <w:r>
        <w:lastRenderedPageBreak/>
        <w:t>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Pr>
          <w:i/>
        </w:rPr>
        <w:t>SR</w:t>
      </w:r>
      <w:r>
        <w:t xml:space="preserve">. </w:t>
      </w:r>
      <w:r>
        <w:tab/>
      </w:r>
      <w:bookmarkEnd w:id="5"/>
      <w:bookmarkEnd w:id="6"/>
    </w:p>
    <w:p w:rsidR="00615CFA" w:rsidRDefault="00615CFA">
      <w:pPr>
        <w:spacing w:line="480" w:lineRule="auto"/>
        <w:ind w:firstLine="720"/>
      </w:pPr>
      <w:r>
        <w:t xml:space="preserve">With the </w:t>
      </w:r>
      <w:r>
        <w:rPr>
          <w:i/>
        </w:rPr>
        <w:t>Southern Review</w:t>
      </w:r>
      <w:r>
        <w:t xml:space="preserve"> out of the picture, Lytle sensed that the time was ripe for Tate to lead the </w:t>
      </w:r>
      <w:r>
        <w:rPr>
          <w:i/>
        </w:rPr>
        <w:t xml:space="preserve">SR </w:t>
      </w:r>
      <w:r>
        <w:t>into a new era, inciting Tate in a letter on January 30, 1942, to “tell him [</w:t>
      </w:r>
      <w:proofErr w:type="spellStart"/>
      <w:r>
        <w:t>Guerry</w:t>
      </w:r>
      <w:proofErr w:type="spellEnd"/>
      <w:r>
        <w:t xml:space="preserve">] that now is the time for the </w:t>
      </w:r>
      <w:r>
        <w:rPr>
          <w:i/>
        </w:rPr>
        <w:t>Sewanee Review</w:t>
      </w:r>
      <w:r>
        <w:t xml:space="preserve"> to take the place of the </w:t>
      </w:r>
      <w:r>
        <w:rPr>
          <w:i/>
        </w:rPr>
        <w:t>Southern Review</w:t>
      </w:r>
      <w:r>
        <w:t>, and that you might take the Academy job until Knickerbocker's contract expired, when you would be made editor of that and do more or less what you have been doing at Pri</w:t>
      </w:r>
      <w:r w:rsidR="009F1C42">
        <w:t xml:space="preserve">nceton” (Young and </w:t>
      </w:r>
      <w:proofErr w:type="spellStart"/>
      <w:r w:rsidR="009F1C42">
        <w:t>Sarcone</w:t>
      </w:r>
      <w:proofErr w:type="spellEnd"/>
      <w:r w:rsidR="009F1C42">
        <w:t xml:space="preserv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Pr>
          <w:i/>
        </w:rPr>
        <w:t>SR</w:t>
      </w:r>
      <w:r>
        <w:t xml:space="preserve"> from what Tate would call “a graveyard for second-rate professors” (Young and </w:t>
      </w:r>
      <w:proofErr w:type="spellStart"/>
      <w:r>
        <w:t>Sarcone</w:t>
      </w:r>
      <w:proofErr w:type="spellEnd"/>
      <w:r>
        <w:t xml:space="preserve"> 186) into a leading national literary review.</w:t>
      </w:r>
    </w:p>
    <w:p w:rsidR="00766E9C" w:rsidRDefault="00766E9C"/>
    <w:p w:rsidR="00766E9C" w:rsidRDefault="00766E9C"/>
    <w:p w:rsidR="00766E9C" w:rsidRDefault="00766E9C" w:rsidP="00766E9C">
      <w:pPr>
        <w:jc w:val="center"/>
      </w:pPr>
      <w:r>
        <w:t>[</w:t>
      </w:r>
      <w:r w:rsidR="00CC0CEE">
        <w:t>Document excerpt provided courtesy of William Fisher</w:t>
      </w:r>
      <w:r w:rsidR="009D1F62">
        <w:t xml:space="preserve"> </w:t>
      </w:r>
      <w:r w:rsidR="009D1F62">
        <w:rPr>
          <w:rFonts w:cs="Times"/>
        </w:rPr>
        <w:t>©</w:t>
      </w:r>
      <w:r w:rsidR="009D1F62">
        <w:t xml:space="preserve"> 2009</w:t>
      </w:r>
      <w:r>
        <w:t>]</w:t>
      </w:r>
    </w:p>
    <w:p w:rsidR="00615CFA" w:rsidRDefault="00615CFA" w:rsidP="00CC0CEE"/>
    <w:sectPr w:rsidR="00615CF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CFA" w:rsidRDefault="00615CFA">
      <w:r>
        <w:separator/>
      </w:r>
    </w:p>
  </w:endnote>
  <w:endnote w:type="continuationSeparator" w:id="0">
    <w:p w:rsidR="00615CFA" w:rsidRDefault="0061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2" w:rsidRDefault="000D6A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2" w:rsidRDefault="000D6A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2" w:rsidRDefault="000D6A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CFA" w:rsidRDefault="00615CFA">
      <w:r>
        <w:separator/>
      </w:r>
    </w:p>
  </w:footnote>
  <w:footnote w:type="continuationSeparator" w:id="0">
    <w:p w:rsidR="00615CFA" w:rsidRDefault="00615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2" w:rsidRDefault="000D6A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0BB" w:rsidRDefault="002740BB" w:rsidP="002740BB">
    <w:pPr>
      <w:pStyle w:val="Header"/>
      <w:jc w:val="right"/>
    </w:pPr>
    <w:r>
      <w:t>William Fisher</w:t>
    </w:r>
    <w:r>
      <w:ptab w:relativeTo="margin" w:alignment="center" w:leader="none"/>
    </w:r>
    <w:r>
      <w:t>LIT 489</w:t>
    </w:r>
    <w:r>
      <w:ptab w:relativeTo="margin" w:alignment="right" w:leader="none"/>
    </w:r>
    <w:r>
      <w:t>Professor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2" w:rsidRDefault="000D6A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73DCC"/>
    <w:rsid w:val="000D6AB2"/>
    <w:rsid w:val="00111A27"/>
    <w:rsid w:val="00161DA4"/>
    <w:rsid w:val="002740BB"/>
    <w:rsid w:val="002918BC"/>
    <w:rsid w:val="00326D56"/>
    <w:rsid w:val="0034690E"/>
    <w:rsid w:val="00391C02"/>
    <w:rsid w:val="00414575"/>
    <w:rsid w:val="004C1474"/>
    <w:rsid w:val="00564382"/>
    <w:rsid w:val="00596691"/>
    <w:rsid w:val="00603C33"/>
    <w:rsid w:val="0060737E"/>
    <w:rsid w:val="00615CFA"/>
    <w:rsid w:val="0069210E"/>
    <w:rsid w:val="00692D5F"/>
    <w:rsid w:val="006C35CA"/>
    <w:rsid w:val="00713933"/>
    <w:rsid w:val="00766E9C"/>
    <w:rsid w:val="00794A9B"/>
    <w:rsid w:val="008314E0"/>
    <w:rsid w:val="0083353C"/>
    <w:rsid w:val="00836B12"/>
    <w:rsid w:val="0085569C"/>
    <w:rsid w:val="008C2DDF"/>
    <w:rsid w:val="0095021B"/>
    <w:rsid w:val="009A10C9"/>
    <w:rsid w:val="009B7754"/>
    <w:rsid w:val="009D1F62"/>
    <w:rsid w:val="009F1C42"/>
    <w:rsid w:val="00AA280D"/>
    <w:rsid w:val="00B36251"/>
    <w:rsid w:val="00C80B7A"/>
    <w:rsid w:val="00CB0001"/>
    <w:rsid w:val="00CC0CEE"/>
    <w:rsid w:val="00D906EA"/>
    <w:rsid w:val="00DB5509"/>
    <w:rsid w:val="00E4243C"/>
    <w:rsid w:val="00EA0548"/>
    <w:rsid w:val="00ED2CB0"/>
    <w:rsid w:val="00EE4B3E"/>
    <w:rsid w:val="00F63002"/>
    <w:rsid w:val="00FA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6345</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2013-04-02T19:24:00Z</dcterms:created>
  <dcterms:modified xsi:type="dcterms:W3CDTF">2013-04-08T20:04:00Z</dcterms:modified>
</cp:coreProperties>
</file>